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after="150" w:line="240" w:lineRule="auto"/>
        <w:ind w:right="0"/>
        <w:jc w:val="center"/>
        <w:textAlignment w:val="auto"/>
        <w:rPr>
          <w:rFonts w:hint="default" w:ascii="Times New Roman" w:hAnsi="Times New Roman" w:eastAsia="宋体" w:cs="Times New Roman"/>
          <w:b/>
          <w:bCs/>
          <w:kern w:val="0"/>
          <w:sz w:val="24"/>
          <w:szCs w:val="24"/>
          <w:lang w:val="en-US" w:eastAsia="zh-CN" w:bidi="ar"/>
        </w:rPr>
      </w:pPr>
      <w:r>
        <w:rPr>
          <w:rFonts w:hint="default" w:ascii="Times New Roman" w:hAnsi="Times New Roman" w:eastAsia="宋体" w:cs="Times New Roman"/>
          <w:b/>
          <w:bCs/>
          <w:kern w:val="0"/>
          <w:sz w:val="24"/>
          <w:szCs w:val="24"/>
          <w:lang w:val="en-US" w:eastAsia="zh-CN" w:bidi="ar"/>
        </w:rPr>
        <w:t>Announcement by the Ministry of Science and Technology of the General Administration of Taxation of the Ministry of Finance on Increasing support for pre-tax deduction of scientific and technological Innovation Announcement</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color w:val="808080" w:themeColor="text1" w:themeTint="80"/>
          <w:kern w:val="0"/>
          <w:sz w:val="21"/>
          <w:szCs w:val="21"/>
          <w:lang w:eastAsia="zh-CN" w:bidi="ar"/>
          <w14:textFill>
            <w14:solidFill>
              <w14:schemeClr w14:val="tx1">
                <w14:lumMod w14:val="50000"/>
                <w14:lumOff w14:val="50000"/>
              </w14:schemeClr>
            </w14:solidFill>
          </w14:textFill>
        </w:rPr>
      </w:pPr>
      <w:r>
        <w:rPr>
          <w:rFonts w:hint="eastAsia" w:ascii="Times New Roman" w:hAnsi="Times New Roman" w:eastAsia="宋体" w:cs="Times New Roman"/>
          <w:color w:val="808080" w:themeColor="text1" w:themeTint="80"/>
          <w:kern w:val="0"/>
          <w:sz w:val="21"/>
          <w:szCs w:val="21"/>
          <w:lang w:val="en-US" w:eastAsia="zh-CN" w:bidi="ar"/>
          <w14:textFill>
            <w14:solidFill>
              <w14:schemeClr w14:val="tx1">
                <w14:lumMod w14:val="50000"/>
                <w14:lumOff w14:val="50000"/>
              </w14:schemeClr>
            </w14:solidFill>
          </w14:textFill>
        </w:rPr>
        <w:t>B</w:t>
      </w:r>
      <w:r>
        <w:rPr>
          <w:rFonts w:hint="eastAsia" w:ascii="Times New Roman" w:hAnsi="Times New Roman" w:eastAsia="宋体" w:cs="Times New Roman"/>
          <w:color w:val="808080" w:themeColor="text1" w:themeTint="80"/>
          <w:kern w:val="0"/>
          <w:sz w:val="21"/>
          <w:szCs w:val="21"/>
          <w:lang w:eastAsia="zh-CN" w:bidi="ar"/>
          <w14:textFill>
            <w14:solidFill>
              <w14:schemeClr w14:val="tx1">
                <w14:lumMod w14:val="50000"/>
                <w14:lumOff w14:val="50000"/>
              </w14:schemeClr>
            </w14:solidFill>
          </w14:textFill>
        </w:rPr>
        <w:t>y the Ministry of Science and Technology of the General Administration of Taxation of the Ministry of Finance No. 28, 2022</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kern w:val="0"/>
          <w:sz w:val="21"/>
          <w:szCs w:val="21"/>
          <w:lang w:eastAsia="zh-CN" w:bidi="ar"/>
        </w:rPr>
      </w:pPr>
      <w:r>
        <w:rPr>
          <w:rFonts w:hint="eastAsia" w:ascii="Times New Roman" w:hAnsi="Times New Roman" w:eastAsia="宋体" w:cs="Times New Roman"/>
          <w:kern w:val="0"/>
          <w:sz w:val="21"/>
          <w:szCs w:val="21"/>
          <w:lang w:eastAsia="zh-CN" w:bidi="ar"/>
        </w:rPr>
        <w:t>In order to support the innovation and development of high-tech enterprises and promote the upgrading of enterprise equipment and technology, the announcement on the relevant enterprise income tax pre-tax deduction policy is as follows:</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kern w:val="0"/>
          <w:sz w:val="21"/>
          <w:szCs w:val="21"/>
          <w:lang w:eastAsia="zh-CN" w:bidi="ar"/>
        </w:rPr>
      </w:pPr>
      <w:r>
        <w:rPr>
          <w:rFonts w:hint="eastAsia" w:ascii="Times New Roman" w:hAnsi="Times New Roman" w:eastAsia="宋体" w:cs="Times New Roman"/>
          <w:kern w:val="0"/>
          <w:sz w:val="21"/>
          <w:szCs w:val="21"/>
          <w:lang w:eastAsia="zh-CN" w:bidi="ar"/>
        </w:rPr>
        <w:t>First, high-tech enterprises in the period from October 1, 2022 to December 31, 2022, the newly purchased equipment and appliances, allow the one-time full amount of the year in the calculation of taxable income deduction, and allow the implementation of 100% additional deduction before tax.</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kern w:val="0"/>
          <w:sz w:val="21"/>
          <w:szCs w:val="21"/>
          <w:lang w:eastAsia="zh-CN" w:bidi="ar"/>
        </w:rPr>
      </w:pPr>
      <w:r>
        <w:rPr>
          <w:rFonts w:hint="eastAsia" w:ascii="Times New Roman" w:hAnsi="Times New Roman" w:eastAsia="宋体" w:cs="Times New Roman"/>
          <w:kern w:val="0"/>
          <w:sz w:val="21"/>
          <w:szCs w:val="21"/>
          <w:lang w:eastAsia="zh-CN" w:bidi="ar"/>
        </w:rPr>
        <w:t>This policy is applicable to all enterprises that qualify as high-tech enterprises during the fourth quarter of 2022. If the enterprise chooses to apply this policy in the year of insufficient deduction, it can be carried forward to subsequent years in accordance with the current relevant provisions.</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kern w:val="0"/>
          <w:sz w:val="21"/>
          <w:szCs w:val="21"/>
          <w:lang w:eastAsia="zh-CN" w:bidi="ar"/>
        </w:rPr>
      </w:pPr>
      <w:r>
        <w:rPr>
          <w:rFonts w:hint="eastAsia" w:ascii="Times New Roman" w:hAnsi="Times New Roman" w:eastAsia="宋体" w:cs="Times New Roman"/>
          <w:kern w:val="0"/>
          <w:sz w:val="21"/>
          <w:szCs w:val="21"/>
          <w:lang w:eastAsia="zh-CN" w:bidi="ar"/>
        </w:rPr>
        <w:t xml:space="preserve">The above mentioned equipment and appliances refer to fixed assets other than houses and buildings; The conditions and management measures of the said high-tech enterprises shall be implemented in accordance with the Notice of the State Administration of Taxation of the Ministry of Science and Technology and the Ministry of Finance on the Revision and Issuance of the "Administrative Measures for the Identification of High-tech Enterprises" (The Ministry of Science and Technology of the People's Republic of China issued a letter to the Torch Center </w:t>
      </w:r>
      <w:r>
        <w:rPr>
          <w:rFonts w:hint="eastAsia" w:ascii="Times New Roman" w:hAnsi="Times New Roman" w:eastAsia="宋体" w:cs="Times New Roman"/>
          <w:kern w:val="0"/>
          <w:sz w:val="21"/>
          <w:szCs w:val="21"/>
          <w:lang w:val="en-US" w:eastAsia="zh-CN" w:bidi="ar"/>
        </w:rPr>
        <w:t>[</w:t>
      </w:r>
      <w:r>
        <w:rPr>
          <w:rFonts w:hint="eastAsia" w:ascii="Times New Roman" w:hAnsi="Times New Roman" w:eastAsia="宋体" w:cs="Times New Roman"/>
          <w:kern w:val="0"/>
          <w:sz w:val="21"/>
          <w:szCs w:val="21"/>
          <w:lang w:eastAsia="zh-CN" w:bidi="ar"/>
        </w:rPr>
        <w:t>2016</w:t>
      </w:r>
      <w:r>
        <w:rPr>
          <w:rFonts w:hint="eastAsia" w:ascii="Times New Roman" w:hAnsi="Times New Roman" w:eastAsia="宋体" w:cs="Times New Roman"/>
          <w:kern w:val="0"/>
          <w:sz w:val="21"/>
          <w:szCs w:val="21"/>
          <w:lang w:val="en-US" w:eastAsia="zh-CN" w:bidi="ar"/>
        </w:rPr>
        <w:t>]</w:t>
      </w:r>
      <w:r>
        <w:rPr>
          <w:rFonts w:hint="eastAsia" w:ascii="Times New Roman" w:hAnsi="Times New Roman" w:eastAsia="宋体" w:cs="Times New Roman"/>
          <w:kern w:val="0"/>
          <w:sz w:val="21"/>
          <w:szCs w:val="21"/>
          <w:lang w:eastAsia="zh-CN" w:bidi="ar"/>
        </w:rPr>
        <w:t xml:space="preserve"> No. 32).</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kern w:val="0"/>
          <w:sz w:val="21"/>
          <w:szCs w:val="21"/>
          <w:lang w:eastAsia="zh-CN" w:bidi="ar"/>
        </w:rPr>
      </w:pPr>
      <w:r>
        <w:rPr>
          <w:rFonts w:hint="eastAsia" w:ascii="Times New Roman" w:hAnsi="Times New Roman" w:eastAsia="宋体" w:cs="Times New Roman"/>
          <w:kern w:val="0"/>
          <w:sz w:val="21"/>
          <w:szCs w:val="21"/>
          <w:lang w:eastAsia="zh-CN" w:bidi="ar"/>
        </w:rPr>
        <w:t>The tax collection and administration matters of the enterprise enjoying the policy shall be implemented in accordance with the current collection and administration provisions.</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eastAsia" w:ascii="Times New Roman" w:hAnsi="Times New Roman" w:eastAsia="宋体" w:cs="Times New Roman"/>
          <w:kern w:val="0"/>
          <w:sz w:val="21"/>
          <w:szCs w:val="21"/>
          <w:lang w:eastAsia="zh-CN" w:bidi="ar"/>
        </w:rPr>
      </w:pPr>
      <w:r>
        <w:rPr>
          <w:rFonts w:hint="eastAsia" w:ascii="Times New Roman" w:hAnsi="Times New Roman" w:eastAsia="宋体" w:cs="Times New Roman"/>
          <w:kern w:val="0"/>
          <w:sz w:val="21"/>
          <w:szCs w:val="21"/>
          <w:lang w:eastAsia="zh-CN" w:bidi="ar"/>
        </w:rPr>
        <w:t>Second,</w:t>
      </w:r>
      <w:r>
        <w:rPr>
          <w:rFonts w:hint="eastAsia" w:ascii="Times New Roman" w:hAnsi="Times New Roman" w:eastAsia="宋体" w:cs="Times New Roman"/>
          <w:kern w:val="0"/>
          <w:sz w:val="21"/>
          <w:szCs w:val="21"/>
          <w:lang w:val="en-US" w:eastAsia="zh-CN" w:bidi="ar"/>
        </w:rPr>
        <w:t xml:space="preserve"> f</w:t>
      </w:r>
      <w:r>
        <w:rPr>
          <w:rFonts w:hint="eastAsia" w:ascii="Times New Roman" w:hAnsi="Times New Roman" w:eastAsia="宋体" w:cs="Times New Roman"/>
          <w:kern w:val="0"/>
          <w:sz w:val="21"/>
          <w:szCs w:val="21"/>
          <w:lang w:eastAsia="zh-CN" w:bidi="ar"/>
        </w:rPr>
        <w:t>or enterprises with 75% pre-tax deduction of R&amp;D expenses currently applicable, the pre-tax deduction rate will be increased to 100% during the period from October 1, 2022 to December 31, 2022.</w:t>
      </w:r>
      <w:bookmarkStart w:id="0" w:name="_GoBack"/>
      <w:bookmarkEnd w:id="0"/>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kern w:val="0"/>
          <w:sz w:val="21"/>
          <w:szCs w:val="21"/>
          <w:lang w:eastAsia="zh-CN" w:bidi="ar"/>
        </w:rPr>
        <w:t>When enterprises enjoy the preferential deduction of R&amp;D expenses in the calculation of the final settlement of enterprise income tax in 2022, the R&amp;D expenses in the fourth quarter can be calculated by the enterprises themselves according to the actual amount incurred, or the proportion of the R&amp;D expenses actually incurred in the whole year multiplied by the number of operating months after October 1, 2022 in the actual number of operating months in 2022.</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kern w:val="0"/>
          <w:sz w:val="21"/>
          <w:szCs w:val="21"/>
          <w:lang w:eastAsia="zh-CN" w:bidi="ar"/>
        </w:rPr>
        <w:t xml:space="preserve">The relevant policy caliber and management of the pre-tax deduction policy for R&amp;D expenses enjoyed by enterprises, In accordance with the relevant provisions of the Ministry of Finance and the Ministry of Science and Technology of the State Administration of Taxation of the Ministry of Finance on improving the policy of </w:t>
      </w:r>
      <w:r>
        <w:rPr>
          <w:rFonts w:hint="eastAsia" w:ascii="Times New Roman" w:hAnsi="Times New Roman" w:eastAsia="宋体" w:cs="Times New Roman"/>
          <w:kern w:val="0"/>
          <w:sz w:val="21"/>
          <w:szCs w:val="21"/>
          <w:lang w:eastAsia="zh-CN" w:bidi="ar"/>
        </w:rPr>
        <w:t>Pre-tax</w:t>
      </w:r>
      <w:r>
        <w:rPr>
          <w:rFonts w:hint="default" w:ascii="Times New Roman" w:hAnsi="Times New Roman" w:eastAsia="宋体" w:cs="Times New Roman"/>
          <w:kern w:val="0"/>
          <w:sz w:val="21"/>
          <w:szCs w:val="21"/>
          <w:lang w:eastAsia="zh-CN" w:bidi="ar"/>
        </w:rPr>
        <w:t xml:space="preserve"> Deduction of research and development expenses (Finance and Taxation [2015] No.119), the Ministry of Science and Technology of the General Administration of Taxation of the Ministry of Finance on the policy issue of Pre-tax deduction of overseas research and development expenses entrusted by enterprises (Finance and Taxation [2018] No. 64) and other documents.</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kern w:val="0"/>
          <w:sz w:val="21"/>
          <w:szCs w:val="21"/>
          <w:lang w:eastAsia="zh-CN" w:bidi="ar"/>
        </w:rPr>
        <w:t>It is hereby announced.</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right"/>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kern w:val="0"/>
          <w:sz w:val="21"/>
          <w:szCs w:val="21"/>
          <w:lang w:eastAsia="zh-CN" w:bidi="ar"/>
        </w:rPr>
        <w:t>Ministry of Finance</w:t>
      </w:r>
      <w:r>
        <w:rPr>
          <w:rFonts w:hint="eastAsia" w:ascii="Times New Roman" w:hAnsi="Times New Roman" w:eastAsia="宋体" w:cs="Times New Roman"/>
          <w:kern w:val="0"/>
          <w:sz w:val="21"/>
          <w:szCs w:val="21"/>
          <w:lang w:val="en-US" w:eastAsia="zh-CN" w:bidi="ar"/>
        </w:rPr>
        <w:t xml:space="preserve">, </w:t>
      </w:r>
      <w:r>
        <w:rPr>
          <w:rFonts w:hint="default" w:ascii="Times New Roman" w:hAnsi="Times New Roman" w:eastAsia="宋体" w:cs="Times New Roman"/>
          <w:kern w:val="0"/>
          <w:sz w:val="21"/>
          <w:szCs w:val="21"/>
          <w:lang w:eastAsia="zh-CN" w:bidi="ar"/>
        </w:rPr>
        <w:t>Ministry of Science and Technology, General Administration of Taxation</w:t>
      </w:r>
    </w:p>
    <w:p>
      <w:pPr>
        <w:numPr>
          <w:ilvl w:val="0"/>
          <w:numId w:val="0"/>
        </w:numPr>
        <w:jc w:val="right"/>
        <w:rPr>
          <w:rFonts w:hint="eastAsia"/>
        </w:rPr>
      </w:pPr>
      <w:r>
        <w:rPr>
          <w:rFonts w:hint="default" w:ascii="Times New Roman" w:hAnsi="Times New Roman" w:eastAsia="宋体" w:cs="Times New Roman"/>
          <w:kern w:val="0"/>
          <w:sz w:val="21"/>
          <w:szCs w:val="21"/>
          <w:lang w:eastAsia="zh-CN" w:bidi="ar"/>
        </w:rPr>
        <w:t>September 22, 2022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000000"/>
    <w:rsid w:val="2D3E1194"/>
    <w:rsid w:val="3486735F"/>
    <w:rsid w:val="47EB5D34"/>
    <w:rsid w:val="4C3D3D2F"/>
    <w:rsid w:val="65CB4C05"/>
    <w:rsid w:val="6D960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1"/>
    <w:pPr>
      <w:ind w:left="120"/>
    </w:pPr>
    <w:rPr>
      <w:rFonts w:ascii="宋体" w:hAnsi="宋体" w:eastAsia="宋体" w:cs="宋体"/>
      <w:sz w:val="24"/>
      <w:szCs w:val="24"/>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2024-03-12T03:53:00Z</dcterms:created>
  <dc:creator>再飞行</dc:creator>
  <cp:lastModifiedBy>抬头望下玄月</cp:lastModifiedBy>
  <dcterms:modified xsi:type="dcterms:W3CDTF">2024-03-12T08:10:13Z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4661D57878E04973A11528AB7ED5DC82_12</vt:lpwstr>
  </property>
</Properties>
</file>